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18073" w14:textId="33947D80" w:rsidR="00647355" w:rsidRPr="00647355" w:rsidRDefault="00647355" w:rsidP="00647355">
      <w:pPr>
        <w:tabs>
          <w:tab w:val="left" w:pos="3969"/>
        </w:tabs>
        <w:spacing w:after="0" w:line="240" w:lineRule="auto"/>
        <w:rPr>
          <w:rFonts w:cstheme="minorHAnsi"/>
          <w:sz w:val="24"/>
          <w:szCs w:val="24"/>
        </w:rPr>
      </w:pPr>
      <w:r w:rsidRPr="00647355">
        <w:rPr>
          <w:rFonts w:cstheme="minorHAnsi"/>
          <w:sz w:val="24"/>
          <w:szCs w:val="24"/>
        </w:rPr>
        <w:t>Abstract for DSPAP 2023</w:t>
      </w:r>
    </w:p>
    <w:p w14:paraId="03BC8C5C" w14:textId="46748FA7" w:rsidR="00647355" w:rsidRDefault="00647355" w:rsidP="00647355">
      <w:pPr>
        <w:tabs>
          <w:tab w:val="left" w:pos="3969"/>
        </w:tabs>
        <w:spacing w:after="0" w:line="240" w:lineRule="auto"/>
        <w:rPr>
          <w:rFonts w:cstheme="minorHAnsi"/>
          <w:b/>
          <w:bCs/>
          <w:sz w:val="24"/>
          <w:szCs w:val="24"/>
        </w:rPr>
      </w:pPr>
    </w:p>
    <w:p w14:paraId="34EBA440" w14:textId="77777777" w:rsidR="00647355" w:rsidRPr="009C7868" w:rsidRDefault="00647355" w:rsidP="00647355">
      <w:pPr>
        <w:spacing w:after="0" w:line="240" w:lineRule="auto"/>
        <w:rPr>
          <w:rFonts w:cstheme="minorHAnsi"/>
          <w:b/>
          <w:sz w:val="24"/>
          <w:szCs w:val="24"/>
        </w:rPr>
      </w:pPr>
      <w:r>
        <w:rPr>
          <w:rFonts w:cstheme="minorHAnsi"/>
          <w:b/>
          <w:bCs/>
          <w:sz w:val="24"/>
          <w:szCs w:val="24"/>
        </w:rPr>
        <w:t xml:space="preserve">Turning Lung Clearance Index on its head. </w:t>
      </w:r>
      <w:bookmarkStart w:id="0" w:name="_Hlk113794602"/>
      <w:r w:rsidRPr="009C7868">
        <w:rPr>
          <w:rFonts w:cstheme="minorHAnsi"/>
          <w:b/>
          <w:sz w:val="24"/>
          <w:szCs w:val="24"/>
        </w:rPr>
        <w:t>Reference data for SF</w:t>
      </w:r>
      <w:r w:rsidRPr="009C7868">
        <w:rPr>
          <w:rFonts w:cstheme="minorHAnsi"/>
          <w:b/>
          <w:sz w:val="24"/>
          <w:szCs w:val="24"/>
          <w:vertAlign w:val="subscript"/>
        </w:rPr>
        <w:t>6</w:t>
      </w:r>
      <w:r w:rsidRPr="009C7868">
        <w:rPr>
          <w:rFonts w:cstheme="minorHAnsi"/>
          <w:b/>
          <w:sz w:val="24"/>
          <w:szCs w:val="24"/>
        </w:rPr>
        <w:t xml:space="preserve"> Multiple Breath Washout Derived Ventilation </w:t>
      </w:r>
      <w:r>
        <w:rPr>
          <w:rFonts w:cstheme="minorHAnsi"/>
          <w:b/>
          <w:sz w:val="24"/>
          <w:szCs w:val="24"/>
        </w:rPr>
        <w:t>D</w:t>
      </w:r>
      <w:r w:rsidRPr="009C7868">
        <w:rPr>
          <w:rFonts w:cstheme="minorHAnsi"/>
          <w:b/>
          <w:sz w:val="24"/>
          <w:szCs w:val="24"/>
        </w:rPr>
        <w:t xml:space="preserve">istribution </w:t>
      </w:r>
      <w:r>
        <w:rPr>
          <w:rFonts w:cstheme="minorHAnsi"/>
          <w:b/>
          <w:sz w:val="24"/>
          <w:szCs w:val="24"/>
        </w:rPr>
        <w:t>E</w:t>
      </w:r>
      <w:r w:rsidRPr="009C7868">
        <w:rPr>
          <w:rFonts w:cstheme="minorHAnsi"/>
          <w:b/>
          <w:sz w:val="24"/>
          <w:szCs w:val="24"/>
        </w:rPr>
        <w:t>fficiency (VDE)</w:t>
      </w:r>
      <w:bookmarkEnd w:id="0"/>
    </w:p>
    <w:p w14:paraId="6E2B1539" w14:textId="77777777" w:rsidR="00647355" w:rsidRDefault="00647355" w:rsidP="00647355">
      <w:pPr>
        <w:spacing w:after="0" w:line="240" w:lineRule="auto"/>
        <w:rPr>
          <w:rFonts w:cstheme="minorHAnsi"/>
          <w:b/>
          <w:bCs/>
          <w:i/>
          <w:iCs/>
          <w:sz w:val="24"/>
          <w:szCs w:val="24"/>
        </w:rPr>
      </w:pPr>
    </w:p>
    <w:p w14:paraId="2D768D35" w14:textId="3813E453" w:rsidR="00647355" w:rsidRDefault="00647355" w:rsidP="00647355">
      <w:pPr>
        <w:spacing w:after="0" w:line="240" w:lineRule="auto"/>
        <w:rPr>
          <w:rFonts w:cstheme="minorHAnsi"/>
          <w:i/>
          <w:iCs/>
          <w:sz w:val="24"/>
          <w:szCs w:val="24"/>
        </w:rPr>
      </w:pPr>
      <w:r w:rsidRPr="00777E32">
        <w:rPr>
          <w:rFonts w:cstheme="minorHAnsi"/>
          <w:b/>
          <w:bCs/>
          <w:i/>
          <w:iCs/>
          <w:sz w:val="24"/>
          <w:szCs w:val="24"/>
        </w:rPr>
        <w:t>Authors:</w:t>
      </w:r>
      <w:r w:rsidRPr="009C7868">
        <w:rPr>
          <w:rFonts w:cstheme="minorHAnsi"/>
          <w:i/>
          <w:iCs/>
          <w:sz w:val="24"/>
          <w:szCs w:val="24"/>
        </w:rPr>
        <w:t xml:space="preserve"> </w:t>
      </w:r>
    </w:p>
    <w:p w14:paraId="3EE6DEEF" w14:textId="3A0358E8" w:rsidR="00647355" w:rsidRPr="00647355" w:rsidRDefault="00647355" w:rsidP="00647355">
      <w:pPr>
        <w:spacing w:after="0" w:line="240" w:lineRule="auto"/>
        <w:rPr>
          <w:rFonts w:cstheme="minorHAnsi"/>
          <w:i/>
          <w:iCs/>
          <w:sz w:val="24"/>
          <w:szCs w:val="24"/>
          <w:lang w:val="da-DK"/>
        </w:rPr>
      </w:pPr>
      <w:r w:rsidRPr="00647355">
        <w:rPr>
          <w:rFonts w:cstheme="minorHAnsi"/>
          <w:i/>
          <w:iCs/>
          <w:sz w:val="24"/>
          <w:szCs w:val="24"/>
          <w:lang w:val="da-DK"/>
        </w:rPr>
        <w:t>Rikke Mulvad Sandvik</w:t>
      </w:r>
      <w:r w:rsidRPr="00647355">
        <w:rPr>
          <w:rFonts w:cstheme="minorHAnsi"/>
          <w:i/>
          <w:iCs/>
          <w:sz w:val="24"/>
          <w:szCs w:val="24"/>
          <w:vertAlign w:val="superscript"/>
          <w:lang w:val="da-DK"/>
        </w:rPr>
        <w:t>1</w:t>
      </w:r>
      <w:r w:rsidRPr="00647355">
        <w:rPr>
          <w:rFonts w:cstheme="minorHAnsi"/>
          <w:i/>
          <w:iCs/>
          <w:sz w:val="24"/>
          <w:szCs w:val="24"/>
          <w:lang w:val="da-DK"/>
        </w:rPr>
        <w:t>, Anders Lindblad</w:t>
      </w:r>
      <w:r w:rsidRPr="00647355">
        <w:rPr>
          <w:rFonts w:cstheme="minorHAnsi"/>
          <w:i/>
          <w:iCs/>
          <w:sz w:val="24"/>
          <w:szCs w:val="24"/>
          <w:vertAlign w:val="superscript"/>
          <w:lang w:val="da-DK"/>
        </w:rPr>
        <w:t>2,3</w:t>
      </w:r>
      <w:r w:rsidRPr="00647355">
        <w:rPr>
          <w:rFonts w:cstheme="minorHAnsi"/>
          <w:i/>
          <w:iCs/>
          <w:sz w:val="24"/>
          <w:szCs w:val="24"/>
          <w:lang w:val="da-DK"/>
        </w:rPr>
        <w:t>, Paul D Robinson</w:t>
      </w:r>
      <w:r w:rsidRPr="00647355">
        <w:rPr>
          <w:rFonts w:cstheme="minorHAnsi"/>
          <w:i/>
          <w:iCs/>
          <w:sz w:val="24"/>
          <w:szCs w:val="24"/>
          <w:vertAlign w:val="superscript"/>
          <w:lang w:val="da-DK"/>
        </w:rPr>
        <w:t>4,5,6</w:t>
      </w:r>
      <w:r w:rsidRPr="00647355">
        <w:rPr>
          <w:rFonts w:cstheme="minorHAnsi"/>
          <w:i/>
          <w:iCs/>
          <w:sz w:val="24"/>
          <w:szCs w:val="24"/>
          <w:lang w:val="da-DK"/>
        </w:rPr>
        <w:t>, Kim G Nielsen</w:t>
      </w:r>
      <w:r w:rsidRPr="00647355">
        <w:rPr>
          <w:rFonts w:cstheme="minorHAnsi"/>
          <w:i/>
          <w:iCs/>
          <w:sz w:val="24"/>
          <w:szCs w:val="24"/>
          <w:vertAlign w:val="superscript"/>
          <w:lang w:val="da-DK"/>
        </w:rPr>
        <w:t>1,7*</w:t>
      </w:r>
      <w:r w:rsidRPr="00647355">
        <w:rPr>
          <w:rFonts w:cstheme="minorHAnsi"/>
          <w:i/>
          <w:iCs/>
          <w:sz w:val="24"/>
          <w:szCs w:val="24"/>
          <w:lang w:val="da-DK"/>
        </w:rPr>
        <w:t>, Per Gustafsson</w:t>
      </w:r>
      <w:r w:rsidRPr="00647355">
        <w:rPr>
          <w:rFonts w:cstheme="minorHAnsi"/>
          <w:i/>
          <w:iCs/>
          <w:sz w:val="24"/>
          <w:szCs w:val="24"/>
          <w:vertAlign w:val="superscript"/>
          <w:lang w:val="da-DK"/>
        </w:rPr>
        <w:t>3,8*</w:t>
      </w:r>
      <w:r w:rsidRPr="00647355">
        <w:rPr>
          <w:rFonts w:cstheme="minorHAnsi"/>
          <w:i/>
          <w:iCs/>
          <w:sz w:val="24"/>
          <w:szCs w:val="24"/>
          <w:lang w:val="da-DK"/>
        </w:rPr>
        <w:t xml:space="preserve">. </w:t>
      </w:r>
    </w:p>
    <w:p w14:paraId="00B7CD24" w14:textId="4F08F92D" w:rsidR="00647355" w:rsidRPr="00647355" w:rsidRDefault="00647355" w:rsidP="00647355">
      <w:pPr>
        <w:tabs>
          <w:tab w:val="left" w:pos="3969"/>
        </w:tabs>
        <w:spacing w:after="0" w:line="240" w:lineRule="auto"/>
        <w:rPr>
          <w:rFonts w:cstheme="minorHAnsi"/>
          <w:b/>
          <w:bCs/>
          <w:sz w:val="24"/>
          <w:szCs w:val="24"/>
          <w:lang w:val="da-DK"/>
        </w:rPr>
      </w:pPr>
    </w:p>
    <w:p w14:paraId="19F42678" w14:textId="77777777" w:rsidR="00647355" w:rsidRPr="00647355" w:rsidRDefault="00647355" w:rsidP="00647355">
      <w:pPr>
        <w:tabs>
          <w:tab w:val="left" w:pos="3969"/>
        </w:tabs>
        <w:spacing w:after="0" w:line="240" w:lineRule="auto"/>
        <w:rPr>
          <w:rFonts w:cstheme="minorHAnsi"/>
          <w:b/>
          <w:bCs/>
          <w:sz w:val="24"/>
          <w:szCs w:val="24"/>
          <w:lang w:val="da-DK"/>
        </w:rPr>
      </w:pPr>
    </w:p>
    <w:p w14:paraId="3D7A158E" w14:textId="15435DC8" w:rsidR="00647355" w:rsidRPr="009C7868" w:rsidRDefault="00647355" w:rsidP="00647355">
      <w:pPr>
        <w:tabs>
          <w:tab w:val="left" w:pos="3969"/>
        </w:tabs>
        <w:spacing w:after="0" w:line="276" w:lineRule="auto"/>
        <w:rPr>
          <w:rFonts w:cstheme="minorHAnsi"/>
          <w:b/>
          <w:bCs/>
          <w:sz w:val="24"/>
          <w:szCs w:val="24"/>
        </w:rPr>
      </w:pPr>
      <w:r w:rsidRPr="009C7868">
        <w:rPr>
          <w:rFonts w:cstheme="minorHAnsi"/>
          <w:b/>
          <w:bCs/>
          <w:sz w:val="24"/>
          <w:szCs w:val="24"/>
        </w:rPr>
        <w:t>Introduction</w:t>
      </w:r>
    </w:p>
    <w:p w14:paraId="0F99B82A" w14:textId="77777777" w:rsidR="00647355" w:rsidRPr="00777E32" w:rsidRDefault="00647355" w:rsidP="00647355">
      <w:pPr>
        <w:tabs>
          <w:tab w:val="left" w:pos="3969"/>
        </w:tabs>
        <w:spacing w:after="0" w:line="276" w:lineRule="auto"/>
        <w:rPr>
          <w:rFonts w:cstheme="minorHAnsi"/>
          <w:sz w:val="24"/>
          <w:szCs w:val="24"/>
        </w:rPr>
      </w:pPr>
      <w:r w:rsidRPr="009C7868">
        <w:rPr>
          <w:rFonts w:cstheme="minorHAnsi"/>
          <w:sz w:val="24"/>
          <w:szCs w:val="24"/>
        </w:rPr>
        <w:t>Cystic fibrosis (CF)</w:t>
      </w:r>
      <w:r>
        <w:rPr>
          <w:rFonts w:cstheme="minorHAnsi"/>
          <w:sz w:val="24"/>
          <w:szCs w:val="24"/>
        </w:rPr>
        <w:t xml:space="preserve"> lung disease</w:t>
      </w:r>
      <w:r w:rsidRPr="009C7868">
        <w:rPr>
          <w:rFonts w:cstheme="minorHAnsi"/>
          <w:sz w:val="24"/>
          <w:szCs w:val="24"/>
        </w:rPr>
        <w:t xml:space="preserve"> is characterized by increased ventilation inhomogeneity (VI), as measured by multiple breath washout (MBW</w:t>
      </w:r>
      <w:r>
        <w:rPr>
          <w:rFonts w:cstheme="minorHAnsi"/>
          <w:sz w:val="24"/>
          <w:szCs w:val="24"/>
        </w:rPr>
        <w:t>)</w:t>
      </w:r>
      <w:r w:rsidRPr="009C7868">
        <w:rPr>
          <w:rFonts w:cstheme="minorHAnsi"/>
          <w:sz w:val="24"/>
          <w:szCs w:val="24"/>
        </w:rPr>
        <w:t>. Lung clearance index (LCI) is the most reported VI outcome. This study aimed to evaluate historically published reference equations for sulphur hexafluoride (SF</w:t>
      </w:r>
      <w:r w:rsidRPr="009C7868">
        <w:rPr>
          <w:rFonts w:cstheme="minorHAnsi"/>
          <w:sz w:val="24"/>
          <w:szCs w:val="24"/>
          <w:vertAlign w:val="subscript"/>
        </w:rPr>
        <w:t>6</w:t>
      </w:r>
      <w:r w:rsidRPr="009C7868">
        <w:rPr>
          <w:rFonts w:cstheme="minorHAnsi"/>
          <w:sz w:val="24"/>
          <w:szCs w:val="24"/>
        </w:rPr>
        <w:t>) MBW outcomes, to data collected using updated commercial SF</w:t>
      </w:r>
      <w:r w:rsidRPr="009C7868">
        <w:rPr>
          <w:rFonts w:cstheme="minorHAnsi"/>
          <w:sz w:val="24"/>
          <w:szCs w:val="24"/>
          <w:vertAlign w:val="subscript"/>
        </w:rPr>
        <w:t>6</w:t>
      </w:r>
      <w:r w:rsidRPr="009C7868">
        <w:rPr>
          <w:rFonts w:cstheme="minorHAnsi"/>
          <w:sz w:val="24"/>
          <w:szCs w:val="24"/>
        </w:rPr>
        <w:t>MBW equipment and to produce device specific equations if necessary.</w:t>
      </w:r>
    </w:p>
    <w:p w14:paraId="173AD2FD" w14:textId="77777777" w:rsidR="00647355" w:rsidRDefault="00647355" w:rsidP="00647355">
      <w:pPr>
        <w:tabs>
          <w:tab w:val="left" w:pos="3969"/>
        </w:tabs>
        <w:spacing w:after="0" w:line="276" w:lineRule="auto"/>
        <w:rPr>
          <w:rFonts w:cstheme="minorHAnsi"/>
          <w:b/>
          <w:bCs/>
          <w:sz w:val="24"/>
          <w:szCs w:val="24"/>
        </w:rPr>
      </w:pPr>
    </w:p>
    <w:p w14:paraId="46BD026F" w14:textId="77777777" w:rsidR="00647355" w:rsidRPr="009C7868" w:rsidRDefault="00647355" w:rsidP="00647355">
      <w:pPr>
        <w:tabs>
          <w:tab w:val="left" w:pos="3969"/>
        </w:tabs>
        <w:spacing w:after="0" w:line="276" w:lineRule="auto"/>
        <w:rPr>
          <w:rFonts w:cstheme="minorHAnsi"/>
          <w:b/>
          <w:bCs/>
          <w:sz w:val="24"/>
          <w:szCs w:val="24"/>
        </w:rPr>
      </w:pPr>
      <w:r w:rsidRPr="009C7868">
        <w:rPr>
          <w:rFonts w:cstheme="minorHAnsi"/>
          <w:b/>
          <w:bCs/>
          <w:sz w:val="24"/>
          <w:szCs w:val="24"/>
        </w:rPr>
        <w:t>Method</w:t>
      </w:r>
    </w:p>
    <w:p w14:paraId="5C1343F3" w14:textId="77777777" w:rsidR="00647355" w:rsidRPr="009C7868" w:rsidRDefault="00647355" w:rsidP="00647355">
      <w:pPr>
        <w:tabs>
          <w:tab w:val="left" w:pos="3969"/>
        </w:tabs>
        <w:spacing w:after="0" w:line="276" w:lineRule="auto"/>
        <w:rPr>
          <w:rFonts w:cstheme="minorHAnsi"/>
          <w:strike/>
          <w:sz w:val="24"/>
          <w:szCs w:val="24"/>
        </w:rPr>
      </w:pPr>
      <w:r w:rsidRPr="009C7868">
        <w:rPr>
          <w:rFonts w:cstheme="minorHAnsi"/>
          <w:sz w:val="24"/>
          <w:szCs w:val="24"/>
        </w:rPr>
        <w:t>SF</w:t>
      </w:r>
      <w:r w:rsidRPr="009C7868">
        <w:rPr>
          <w:rFonts w:cstheme="minorHAnsi"/>
          <w:sz w:val="24"/>
          <w:szCs w:val="24"/>
          <w:vertAlign w:val="subscript"/>
        </w:rPr>
        <w:t>6</w:t>
      </w:r>
      <w:r w:rsidRPr="009C7868">
        <w:rPr>
          <w:rFonts w:cstheme="minorHAnsi"/>
          <w:sz w:val="24"/>
          <w:szCs w:val="24"/>
        </w:rPr>
        <w:t xml:space="preserve">MBW was performed in 327 healthy children aged 0.1-18.4 years (151 [46%] girls), 191 (58.4%) &lt; 3 years. Z-scores were calculated from published reference equations (FRC and LCI) and multivariate linear regression performed to produce device specific reference equations. Due to increasing residual standard deviations with increasing LCI values, investigation of methods for improvement were investigated, based on the relationship between VI and dead space ventilation (VD/VT; dead space volume/tidal volume) in a cohort of 59 healthy children, 26 children with CF (n=138 test occasions) and 49 adults with lung disease. </w:t>
      </w:r>
    </w:p>
    <w:p w14:paraId="6A22A322" w14:textId="77777777" w:rsidR="00647355" w:rsidRDefault="00647355" w:rsidP="00647355">
      <w:pPr>
        <w:tabs>
          <w:tab w:val="left" w:pos="3969"/>
        </w:tabs>
        <w:spacing w:after="0" w:line="276" w:lineRule="auto"/>
        <w:rPr>
          <w:rFonts w:cstheme="minorHAnsi"/>
          <w:b/>
          <w:bCs/>
          <w:sz w:val="24"/>
          <w:szCs w:val="24"/>
        </w:rPr>
      </w:pPr>
    </w:p>
    <w:p w14:paraId="4DD931BB" w14:textId="77777777" w:rsidR="00647355" w:rsidRPr="009C7868" w:rsidRDefault="00647355" w:rsidP="00647355">
      <w:pPr>
        <w:tabs>
          <w:tab w:val="left" w:pos="3969"/>
        </w:tabs>
        <w:spacing w:after="0" w:line="276" w:lineRule="auto"/>
        <w:rPr>
          <w:rFonts w:cstheme="minorHAnsi"/>
          <w:b/>
          <w:bCs/>
          <w:sz w:val="24"/>
          <w:szCs w:val="24"/>
        </w:rPr>
      </w:pPr>
      <w:r w:rsidRPr="009C7868">
        <w:rPr>
          <w:rFonts w:cstheme="minorHAnsi"/>
          <w:b/>
          <w:bCs/>
          <w:sz w:val="24"/>
          <w:szCs w:val="24"/>
        </w:rPr>
        <w:t>Results</w:t>
      </w:r>
    </w:p>
    <w:p w14:paraId="2055BFBB" w14:textId="77777777" w:rsidR="00647355" w:rsidRPr="009C7868" w:rsidRDefault="00647355" w:rsidP="00647355">
      <w:pPr>
        <w:tabs>
          <w:tab w:val="left" w:pos="3969"/>
        </w:tabs>
        <w:spacing w:after="0" w:line="276" w:lineRule="auto"/>
        <w:rPr>
          <w:rFonts w:cstheme="minorHAnsi"/>
          <w:sz w:val="24"/>
          <w:szCs w:val="24"/>
        </w:rPr>
      </w:pPr>
      <w:r w:rsidRPr="009C7868">
        <w:rPr>
          <w:rFonts w:cstheme="minorHAnsi"/>
          <w:sz w:val="24"/>
          <w:szCs w:val="24"/>
        </w:rPr>
        <w:t>Historical SF</w:t>
      </w:r>
      <w:r w:rsidRPr="009C7868">
        <w:rPr>
          <w:rFonts w:cstheme="minorHAnsi"/>
          <w:sz w:val="24"/>
          <w:szCs w:val="24"/>
          <w:vertAlign w:val="subscript"/>
        </w:rPr>
        <w:t>6</w:t>
      </w:r>
      <w:r w:rsidRPr="009C7868">
        <w:rPr>
          <w:rFonts w:cstheme="minorHAnsi"/>
          <w:sz w:val="24"/>
          <w:szCs w:val="24"/>
        </w:rPr>
        <w:t xml:space="preserve">MBW reference equations were unsuitable for </w:t>
      </w:r>
      <w:r>
        <w:rPr>
          <w:rFonts w:cstheme="minorHAnsi"/>
          <w:sz w:val="24"/>
          <w:szCs w:val="24"/>
        </w:rPr>
        <w:t>EXHALYZER</w:t>
      </w:r>
      <w:r w:rsidRPr="009C7868">
        <w:rPr>
          <w:rFonts w:cstheme="minorHAnsi"/>
          <w:sz w:val="24"/>
          <w:szCs w:val="24"/>
        </w:rPr>
        <w:t xml:space="preserve"> D® data. In contrast to LCI and log</w:t>
      </w:r>
      <w:r w:rsidRPr="009C7868">
        <w:rPr>
          <w:rFonts w:cstheme="minorHAnsi"/>
          <w:sz w:val="24"/>
          <w:szCs w:val="24"/>
          <w:vertAlign w:val="subscript"/>
        </w:rPr>
        <w:t>10</w:t>
      </w:r>
      <w:r w:rsidRPr="009C7868">
        <w:rPr>
          <w:rFonts w:cstheme="minorHAnsi"/>
          <w:sz w:val="24"/>
          <w:szCs w:val="24"/>
        </w:rPr>
        <w:t>(LCI), 1/LCI (ventilation distribution efficiency; VDE) was linearly related to VD/VT, with z-scores linearly related to its absolute values. Reference equations were reported for VDE and log</w:t>
      </w:r>
      <w:r w:rsidRPr="009C7868">
        <w:rPr>
          <w:rFonts w:cstheme="minorHAnsi"/>
          <w:sz w:val="24"/>
          <w:szCs w:val="24"/>
          <w:vertAlign w:val="subscript"/>
        </w:rPr>
        <w:t>10</w:t>
      </w:r>
      <w:r w:rsidRPr="009C7868">
        <w:rPr>
          <w:rFonts w:cstheme="minorHAnsi"/>
          <w:sz w:val="24"/>
          <w:szCs w:val="24"/>
        </w:rPr>
        <w:t>(FRC). Significant predictors for VDE and log</w:t>
      </w:r>
      <w:r w:rsidRPr="009C7868">
        <w:rPr>
          <w:rFonts w:cstheme="minorHAnsi"/>
          <w:sz w:val="24"/>
          <w:szCs w:val="24"/>
          <w:vertAlign w:val="subscript"/>
        </w:rPr>
        <w:t>10</w:t>
      </w:r>
      <w:r w:rsidRPr="009C7868">
        <w:rPr>
          <w:rFonts w:cstheme="minorHAnsi"/>
          <w:sz w:val="24"/>
          <w:szCs w:val="24"/>
        </w:rPr>
        <w:t>(FRC), respectively, were log</w:t>
      </w:r>
      <w:r w:rsidRPr="009C7868">
        <w:rPr>
          <w:rFonts w:cstheme="minorHAnsi"/>
          <w:sz w:val="24"/>
          <w:szCs w:val="24"/>
          <w:vertAlign w:val="subscript"/>
        </w:rPr>
        <w:t>10</w:t>
      </w:r>
      <w:r w:rsidRPr="009C7868">
        <w:rPr>
          <w:rFonts w:cstheme="minorHAnsi"/>
          <w:sz w:val="24"/>
          <w:szCs w:val="24"/>
        </w:rPr>
        <w:t>(age) and gender, and log</w:t>
      </w:r>
      <w:r w:rsidRPr="009C7868">
        <w:rPr>
          <w:rFonts w:cstheme="minorHAnsi"/>
          <w:sz w:val="24"/>
          <w:szCs w:val="24"/>
          <w:vertAlign w:val="subscript"/>
        </w:rPr>
        <w:t>10</w:t>
      </w:r>
      <w:r w:rsidRPr="009C7868">
        <w:rPr>
          <w:rFonts w:cstheme="minorHAnsi"/>
          <w:sz w:val="24"/>
          <w:szCs w:val="24"/>
        </w:rPr>
        <w:t xml:space="preserve">(height), gender and posture. </w:t>
      </w:r>
    </w:p>
    <w:p w14:paraId="14A938E3" w14:textId="77777777" w:rsidR="00647355" w:rsidRDefault="00647355" w:rsidP="00647355">
      <w:pPr>
        <w:tabs>
          <w:tab w:val="left" w:pos="3969"/>
        </w:tabs>
        <w:spacing w:after="0" w:line="276" w:lineRule="auto"/>
        <w:rPr>
          <w:rFonts w:cstheme="minorHAnsi"/>
          <w:b/>
          <w:bCs/>
          <w:sz w:val="24"/>
          <w:szCs w:val="24"/>
        </w:rPr>
      </w:pPr>
    </w:p>
    <w:p w14:paraId="3AF808AC" w14:textId="77777777" w:rsidR="00647355" w:rsidRPr="009C7868" w:rsidRDefault="00647355" w:rsidP="00647355">
      <w:pPr>
        <w:tabs>
          <w:tab w:val="left" w:pos="3969"/>
        </w:tabs>
        <w:spacing w:after="0" w:line="276" w:lineRule="auto"/>
        <w:rPr>
          <w:rFonts w:cstheme="minorHAnsi"/>
          <w:b/>
          <w:bCs/>
          <w:sz w:val="24"/>
          <w:szCs w:val="24"/>
        </w:rPr>
      </w:pPr>
      <w:r w:rsidRPr="009C7868">
        <w:rPr>
          <w:rFonts w:cstheme="minorHAnsi"/>
          <w:b/>
          <w:bCs/>
          <w:sz w:val="24"/>
          <w:szCs w:val="24"/>
        </w:rPr>
        <w:t>Conclusion</w:t>
      </w:r>
    </w:p>
    <w:p w14:paraId="58718EC4" w14:textId="77777777" w:rsidR="00647355" w:rsidRPr="00D40FFE" w:rsidRDefault="00647355" w:rsidP="00647355">
      <w:pPr>
        <w:tabs>
          <w:tab w:val="left" w:pos="3969"/>
        </w:tabs>
        <w:spacing w:after="0" w:line="276" w:lineRule="auto"/>
        <w:rPr>
          <w:rFonts w:cstheme="minorHAnsi"/>
          <w:bCs/>
          <w:sz w:val="24"/>
          <w:szCs w:val="24"/>
        </w:rPr>
      </w:pPr>
      <w:bookmarkStart w:id="1" w:name="_Hlk117695637"/>
      <w:r w:rsidRPr="00D40FFE">
        <w:rPr>
          <w:rFonts w:cstheme="minorHAnsi"/>
          <w:bCs/>
          <w:sz w:val="24"/>
          <w:szCs w:val="24"/>
        </w:rPr>
        <w:t xml:space="preserve">VDE is potentially a better index of VI than LCI, particularly in more advanced CF lung disease and also for longitudinal monitoring. Further confirmatory clinical studies, particularly longitudinal imaging studies of structural </w:t>
      </w:r>
      <w:bookmarkStart w:id="2" w:name="_Hlk117677564"/>
      <w:r w:rsidRPr="00D40FFE">
        <w:rPr>
          <w:rFonts w:cstheme="minorHAnsi"/>
          <w:bCs/>
          <w:sz w:val="24"/>
          <w:szCs w:val="24"/>
        </w:rPr>
        <w:t xml:space="preserve">or ventilatory </w:t>
      </w:r>
      <w:bookmarkEnd w:id="2"/>
      <w:r w:rsidRPr="00D40FFE">
        <w:rPr>
          <w:rFonts w:cstheme="minorHAnsi"/>
          <w:bCs/>
          <w:sz w:val="24"/>
          <w:szCs w:val="24"/>
        </w:rPr>
        <w:t>changes, are warranted.</w:t>
      </w:r>
    </w:p>
    <w:bookmarkEnd w:id="1"/>
    <w:p w14:paraId="2917C43A" w14:textId="77777777" w:rsidR="00FD5D60" w:rsidRDefault="00FD5D60" w:rsidP="00647355">
      <w:pPr>
        <w:spacing w:line="276" w:lineRule="auto"/>
      </w:pPr>
    </w:p>
    <w:sectPr w:rsidR="00FD5D60" w:rsidSect="00A04A2E">
      <w:pgSz w:w="12240" w:h="15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355"/>
    <w:rsid w:val="00647355"/>
    <w:rsid w:val="00A04A2E"/>
    <w:rsid w:val="00AE5C52"/>
    <w:rsid w:val="00FB3F60"/>
    <w:rsid w:val="00FD5D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DE57F"/>
  <w15:chartTrackingRefBased/>
  <w15:docId w15:val="{5B65F7ED-2D27-4895-AB8E-F0085DCB6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355"/>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1794</Characters>
  <Application>Microsoft Office Word</Application>
  <DocSecurity>0</DocSecurity>
  <Lines>14</Lines>
  <Paragraphs>4</Paragraphs>
  <ScaleCrop>false</ScaleCrop>
  <Company>Region Hovedstaden</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 Mulvad Sandvik</dc:creator>
  <cp:keywords/>
  <dc:description/>
  <cp:lastModifiedBy>Nadja Bonne</cp:lastModifiedBy>
  <cp:revision>2</cp:revision>
  <dcterms:created xsi:type="dcterms:W3CDTF">2022-12-14T10:50:00Z</dcterms:created>
  <dcterms:modified xsi:type="dcterms:W3CDTF">2022-12-14T10:50:00Z</dcterms:modified>
</cp:coreProperties>
</file>